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pPr>
      <w:r>
        <w:rPr>
          <w:rFonts w:ascii="Arial" w:cs="Arial" w:eastAsia="Arial" w:hAnsi="Arial"/>
          <w:b/>
          <w:bCs/>
          <w:caps/>
          <w:color w:val="C8973A"/>
          <w:sz w:val="20"/>
          <w:szCs w:val="20"/>
        </w:rPr>
        <w:t xml:space="preserve">GUIDE INVESTISSEUR 2026</w:t>
      </w:r>
    </w:p>
    <w:p>
      <w:pPr>
        <w:spacing w:after="0"/>
      </w:pPr>
      <w:r>
        <w:rPr>
          <w:rFonts w:ascii="Arial" w:cs="Arial" w:eastAsia="Arial" w:hAnsi="Arial"/>
          <w:color w:val="0D1F3C"/>
          <w:sz w:val="44"/>
          <w:szCs w:val="44"/>
        </w:rPr>
        <w:t xml:space="preserve">Ou et pourquoi investir avec la</w:t>
      </w:r>
    </w:p>
    <w:p>
      <w:pPr>
        <w:spacing w:after="0"/>
      </w:pPr>
      <w:r>
        <w:rPr>
          <w:rFonts w:ascii="Arial" w:cs="Arial" w:eastAsia="Arial" w:hAnsi="Arial"/>
          <w:b/>
          <w:bCs/>
          <w:color w:val="0D1F3C"/>
          <w:sz w:val="56"/>
          <w:szCs w:val="56"/>
        </w:rPr>
        <w:t xml:space="preserve">Loi Jeanbrun</w:t>
      </w:r>
    </w:p>
    <w:p>
      <w:pPr>
        <w:spacing w:after="240"/>
      </w:pPr>
      <w:r>
        <w:rPr>
          <w:rFonts w:ascii="Arial" w:cs="Arial" w:eastAsia="Arial" w:hAnsi="Arial"/>
          <w:b/>
          <w:bCs/>
          <w:color w:val="2A7A5B"/>
          <w:sz w:val="44"/>
          <w:szCs w:val="44"/>
        </w:rPr>
        <w:t xml:space="preserve">Statut Bailleur Prive</w:t>
      </w:r>
    </w:p>
    <w:p>
      <w:pPr>
        <w:spacing w:after="480"/>
      </w:pPr>
      <w:r>
        <w:rPr>
          <w:rFonts w:ascii="Arial" w:cs="Arial" w:eastAsia="Arial" w:hAnsi="Arial"/>
          <w:color w:val="555555"/>
          <w:sz w:val="36"/>
          <w:szCs w:val="36"/>
        </w:rPr>
        <w:t xml:space="preserve">en Region Rhone-Alpes ?</w:t>
      </w:r>
    </w:p>
    <w:p>
      <w:pPr>
        <w:spacing w:after="600"/>
      </w:pPr>
      <w:r>
        <w:rPr>
          <w:rFonts w:ascii="Arial" w:cs="Arial" w:eastAsia="Arial" w:hAnsi="Arial"/>
          <w:color w:val="444444"/>
          <w:sz w:val="22"/>
          <w:szCs w:val="22"/>
        </w:rPr>
        <w:t xml:space="preserve">Le statut bailleur prive redefinit les regles de l'investissement locatif. Amortissement, deficit foncier, sortie en plus-value maitrisee : decouvrez les villes de la region qui offrent le meilleur rapport potentiel locatif / optimisation fiscale en 2026.</w:t>
      </w:r>
    </w:p>
    <w:p>
      <w:pPr>
        <w:spacing w:after="0"/>
      </w:pPr>
      <w:r>
        <w:rPr>
          <w:rFonts w:ascii="Arial" w:cs="Arial" w:eastAsia="Arial" w:hAnsi="Arial"/>
          <w:b/>
          <w:bCs/>
          <w:color w:val="C8973A"/>
          <w:sz w:val="52"/>
          <w:szCs w:val="52"/>
        </w:rPr>
        <w:t xml:space="preserve">21 %</w:t>
      </w:r>
    </w:p>
    <w:p>
      <w:pPr>
        <w:spacing w:after="200"/>
      </w:pPr>
      <w:r>
        <w:rPr>
          <w:rFonts w:ascii="Arial" w:cs="Arial" w:eastAsia="Arial" w:hAnsi="Arial"/>
          <w:color w:val="888888"/>
          <w:sz w:val="16"/>
          <w:szCs w:val="16"/>
        </w:rPr>
        <w:t xml:space="preserve">D'ECONOMIE FISCALE MOYENNE TMI 30</w:t>
      </w:r>
    </w:p>
    <w:p>
      <w:pPr>
        <w:spacing w:after="0"/>
      </w:pPr>
      <w:r>
        <w:rPr>
          <w:rFonts w:ascii="Arial" w:cs="Arial" w:eastAsia="Arial" w:hAnsi="Arial"/>
          <w:b/>
          <w:bCs/>
          <w:color w:val="C8973A"/>
          <w:sz w:val="52"/>
          <w:szCs w:val="52"/>
        </w:rPr>
        <w:t xml:space="preserve">6 %</w:t>
      </w:r>
    </w:p>
    <w:p>
      <w:pPr>
        <w:spacing w:after="200"/>
      </w:pPr>
      <w:r>
        <w:rPr>
          <w:rFonts w:ascii="Arial" w:cs="Arial" w:eastAsia="Arial" w:hAnsi="Arial"/>
          <w:color w:val="888888"/>
          <w:sz w:val="16"/>
          <w:szCs w:val="16"/>
        </w:rPr>
        <w:t xml:space="preserve">RENDEMENT BRUT ACCESSIBLE GRAND LYON</w:t>
      </w:r>
    </w:p>
    <w:p>
      <w:pPr>
        <w:spacing w:after="0"/>
      </w:pPr>
      <w:r>
        <w:rPr>
          <w:rFonts w:ascii="Arial" w:cs="Arial" w:eastAsia="Arial" w:hAnsi="Arial"/>
          <w:b/>
          <w:bCs/>
          <w:color w:val="C8973A"/>
          <w:sz w:val="52"/>
          <w:szCs w:val="52"/>
        </w:rPr>
        <w:t xml:space="preserve">30 ans</w:t>
      </w:r>
    </w:p>
    <w:p>
      <w:pPr>
        <w:spacing w:after="200"/>
      </w:pPr>
      <w:r>
        <w:rPr>
          <w:rFonts w:ascii="Arial" w:cs="Arial" w:eastAsia="Arial" w:hAnsi="Arial"/>
          <w:color w:val="888888"/>
          <w:sz w:val="16"/>
          <w:szCs w:val="16"/>
        </w:rPr>
        <w:t xml:space="preserve">D'AMORTISSEMENT DEDUCTIBLE</w:t>
      </w:r>
    </w:p>
    <w:p>
      <w:pPr>
        <w:spacing w:after="320"/>
      </w:pPr>
      <w:r>
        <w:t xml:space="preserve"/>
      </w:r>
    </w:p>
    <w:p>
      <w:r>
        <w:br w:type="page"/>
      </w:r>
    </w:p>
    <w:p>
      <w:pPr>
        <w:spacing w:after="60" w:before="240"/>
      </w:pPr>
      <w:r>
        <w:rPr>
          <w:rFonts w:ascii="Arial" w:cs="Arial" w:eastAsia="Arial" w:hAnsi="Arial"/>
          <w:b/>
          <w:bCs/>
          <w:caps/>
          <w:color w:val="2A7A5B"/>
          <w:sz w:val="16"/>
          <w:szCs w:val="16"/>
        </w:rPr>
        <w:t xml:space="preserve">COMPRENDRE LE DISPOSITIF</w:t>
      </w:r>
    </w:p>
    <w:p>
      <w:pPr>
        <w:pStyle w:val="Heading1"/>
        <w:shd w:fill="0D1F3C" w:val="clear"/>
        <w:spacing w:after="180" w:before="360"/>
        <w:ind w:left="200"/>
      </w:pPr>
      <w:r>
        <w:rPr>
          <w:rFonts w:ascii="Arial" w:cs="Arial" w:eastAsia="Arial" w:hAnsi="Arial"/>
          <w:b/>
          <w:bCs/>
          <w:color w:val="FFFFFF"/>
          <w:sz w:val="32"/>
          <w:szCs w:val="32"/>
        </w:rPr>
        <w:t xml:space="preserve">Le dispositif Jeanbrun : un nouveau statut pour les bailleurs prives</w:t>
      </w:r>
    </w:p>
    <w:p>
      <w:pPr>
        <w:spacing w:after="140"/>
      </w:pPr>
      <w:r>
        <w:rPr>
          <w:rFonts w:ascii="Arial" w:cs="Arial" w:eastAsia="Arial" w:hAnsi="Arial"/>
          <w:color w:val="333333"/>
          <w:sz w:val="20"/>
          <w:szCs w:val="20"/>
        </w:rPr>
        <w:t xml:space="preserve">Instauré pour succéder au dispositif Pinel en perte de vitesse, le statut bailleur privé issu de la loi Jeanbrun permet aux investisseurs particuliers de bénéficier d'un régime fiscal avantageux sur les logements neufs ou réhabilités destinés à la location nue.</w:t>
      </w:r>
    </w:p>
    <w:p>
      <w:pPr>
        <w:spacing w:after="140"/>
      </w:pPr>
      <w:r>
        <w:rPr>
          <w:rFonts w:ascii="Arial" w:cs="Arial" w:eastAsia="Arial" w:hAnsi="Arial"/>
          <w:color w:val="333333"/>
          <w:sz w:val="20"/>
          <w:szCs w:val="20"/>
        </w:rPr>
        <w:t xml:space="preserve">Contrairement à Pinel, il repose sur un mécanisme d'amortissement du bien immobilier (jusqu'à 30 ans), combiné à la possibilité de générer et d'imputer un déficit foncier majoré sur le revenu global.</w:t>
      </w:r>
    </w:p>
    <w:p>
      <w:pPr>
        <w:spacing w:after="140"/>
      </w:pPr>
      <w:r>
        <w:rPr>
          <w:rFonts w:ascii="Arial" w:cs="Arial" w:eastAsia="Arial" w:hAnsi="Arial"/>
          <w:color w:val="333333"/>
          <w:sz w:val="20"/>
          <w:szCs w:val="20"/>
        </w:rPr>
        <w:t xml:space="preserve">Pour les contribuables aux tranches marginales d'imposition (TMI) de 30 %, 41 % ou 45 %, l'effet levier fiscal est considérable. Le statut bailleur privé Jeanbrun transforme chaque acquisition immobilière en un véritable outil de gestion patrimoniale à long terme.</w:t>
      </w:r>
    </w:p>
    <w:p>
      <w:pPr>
        <w:spacing w:after="140"/>
      </w:pPr>
      <w:r>
        <w:rPr>
          <w:rFonts w:ascii="Arial" w:cs="Arial" w:eastAsia="Arial" w:hAnsi="Arial"/>
          <w:color w:val="333333"/>
          <w:sz w:val="20"/>
          <w:szCs w:val="20"/>
        </w:rPr>
        <w:t xml:space="preserve">En 2026, la région Rhône-Alpes concentre certains des marchés locatifs les plus dynamiques de France, avec une tension locative structurelle dans les grandes agglomérations et un tissu économique solide.</w:t>
      </w:r>
    </w:p>
    <w:p>
      <w:pPr>
        <w:spacing w:after="80"/>
      </w:pPr>
      <w:r>
        <w:t xml:space="preserve"/>
      </w:r>
    </w:p>
    <w:p>
      <w:pPr>
        <w:pStyle w:val="Heading3"/>
        <w:pBdr>
          <w:bottom w:val="single" w:color="C8973A" w:sz="4" w:space="2"/>
        </w:pBdr>
        <w:spacing w:after="100" w:before="240"/>
      </w:pPr>
      <w:r>
        <w:rPr>
          <w:rFonts w:ascii="Arial" w:cs="Arial" w:eastAsia="Arial" w:hAnsi="Arial"/>
          <w:b/>
          <w:bCs/>
          <w:color w:val="0D1F3C"/>
          <w:sz w:val="22"/>
          <w:szCs w:val="22"/>
        </w:rPr>
        <w:t xml:space="preserve">Les 4 piliers du dispositif</w:t>
      </w:r>
    </w:p>
    <w:p>
      <w:pPr>
        <w:pStyle w:val="ListParagraph"/>
        <w:numPr>
          <w:ilvl w:val="0"/>
          <w:numId w:val="2"/>
        </w:numPr>
        <w:spacing w:after="100"/>
      </w:pPr>
      <w:r>
        <w:rPr>
          <w:rFonts w:ascii="Arial" w:cs="Arial" w:eastAsia="Arial" w:hAnsi="Arial"/>
          <w:color w:val="333333"/>
          <w:sz w:val="20"/>
          <w:szCs w:val="20"/>
        </w:rPr>
        <w:t xml:space="preserve">Amortissement du bien : déduction annuelle sur 20 à 30 ans, même sans travaux</w:t>
      </w:r>
    </w:p>
    <w:p>
      <w:pPr>
        <w:pStyle w:val="ListParagraph"/>
        <w:numPr>
          <w:ilvl w:val="0"/>
          <w:numId w:val="2"/>
        </w:numPr>
        <w:spacing w:after="100"/>
      </w:pPr>
      <w:r>
        <w:rPr>
          <w:rFonts w:ascii="Arial" w:cs="Arial" w:eastAsia="Arial" w:hAnsi="Arial"/>
          <w:color w:val="333333"/>
          <w:sz w:val="20"/>
          <w:szCs w:val="20"/>
        </w:rPr>
        <w:t xml:space="preserve">Déficit foncier majoré : imputation élargie sur le revenu global dès la première année</w:t>
      </w:r>
    </w:p>
    <w:p>
      <w:pPr>
        <w:pStyle w:val="ListParagraph"/>
        <w:numPr>
          <w:ilvl w:val="0"/>
          <w:numId w:val="2"/>
        </w:numPr>
        <w:spacing w:after="100"/>
      </w:pPr>
      <w:r>
        <w:rPr>
          <w:rFonts w:ascii="Arial" w:cs="Arial" w:eastAsia="Arial" w:hAnsi="Arial"/>
          <w:color w:val="333333"/>
          <w:sz w:val="20"/>
          <w:szCs w:val="20"/>
        </w:rPr>
        <w:t xml:space="preserve">Plus-value maîtrisée : stratégie de cession et de transmission optimisée dès l'acquisition</w:t>
      </w:r>
    </w:p>
    <w:p>
      <w:pPr>
        <w:pStyle w:val="ListParagraph"/>
        <w:numPr>
          <w:ilvl w:val="0"/>
          <w:numId w:val="2"/>
        </w:numPr>
        <w:spacing w:after="100"/>
      </w:pPr>
      <w:r>
        <w:rPr>
          <w:rFonts w:ascii="Arial" w:cs="Arial" w:eastAsia="Arial" w:hAnsi="Arial"/>
          <w:color w:val="333333"/>
          <w:sz w:val="20"/>
          <w:szCs w:val="20"/>
        </w:rPr>
        <w:t xml:space="preserve">Sécurité patrimoniale : garanties constructeur (GFA, parfait achèvement, biennale) sur le neuf</w:t>
      </w:r>
    </w:p>
    <w:p>
      <w:pPr>
        <w:spacing w:after="240"/>
      </w:pPr>
      <w:r>
        <w:t xml:space="preserve"/>
      </w:r>
    </w:p>
    <w:p>
      <w:r>
        <w:br w:type="page"/>
      </w:r>
    </w:p>
    <w:p>
      <w:pPr>
        <w:spacing w:after="60" w:before="240"/>
      </w:pPr>
      <w:r>
        <w:rPr>
          <w:rFonts w:ascii="Arial" w:cs="Arial" w:eastAsia="Arial" w:hAnsi="Arial"/>
          <w:b/>
          <w:bCs/>
          <w:caps/>
          <w:color w:val="2A7A5B"/>
          <w:sz w:val="16"/>
          <w:szCs w:val="16"/>
        </w:rPr>
        <w:t xml:space="preserve">CARTE DES OPPORTUNITES 2026</w:t>
      </w:r>
    </w:p>
    <w:p>
      <w:pPr>
        <w:pStyle w:val="Heading1"/>
        <w:shd w:fill="0D1F3C" w:val="clear"/>
        <w:spacing w:after="180" w:before="360"/>
        <w:ind w:left="200"/>
      </w:pPr>
      <w:r>
        <w:rPr>
          <w:rFonts w:ascii="Arial" w:cs="Arial" w:eastAsia="Arial" w:hAnsi="Arial"/>
          <w:b/>
          <w:bCs/>
          <w:color w:val="FFFFFF"/>
          <w:sz w:val="32"/>
          <w:szCs w:val="32"/>
        </w:rPr>
        <w:t xml:space="preserve">Les meilleures villes pour investir en loi Jeanbrun - Rhone-Alpes</w:t>
      </w:r>
    </w:p>
    <w:p>
      <w:pPr>
        <w:spacing w:after="140"/>
      </w:pPr>
      <w:r>
        <w:rPr>
          <w:rFonts w:ascii="Arial" w:cs="Arial" w:eastAsia="Arial" w:hAnsi="Arial"/>
          <w:color w:val="333333"/>
          <w:sz w:val="20"/>
          <w:szCs w:val="20"/>
        </w:rPr>
        <w:t xml:space="preserve">Chaque marché présente un profil distinct : tension locative, dynamique démographique, prix au m², rendement brut et potentiel de revalorisation. Voici notre analyse par zone géographique.</w:t>
      </w:r>
    </w:p>
    <w:p>
      <w:pPr>
        <w:spacing w:after="80"/>
      </w:pPr>
      <w:r>
        <w:t xml:space="preserve"/>
      </w:r>
    </w:p>
    <w:p>
      <w:pPr>
        <w:pStyle w:val="Heading2"/>
        <w:shd w:fill="2A7A5B" w:val="clear"/>
        <w:spacing w:after="160" w:before="300"/>
        <w:ind w:left="160"/>
      </w:pPr>
      <w:r>
        <w:rPr>
          <w:rFonts w:ascii="Arial" w:cs="Arial" w:eastAsia="Arial" w:hAnsi="Arial"/>
          <w:b/>
          <w:bCs/>
          <w:color w:val="FFFFFF"/>
          <w:sz w:val="26"/>
          <w:szCs w:val="26"/>
        </w:rPr>
        <w:t xml:space="preserve">Grand Lyon — Arrondissements coeur de ville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3e
Part-Dieu / Guillotière</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Premier quartier d'affaires de province, demande locative étudiante et cadre exceptionnelle. Accessibilité TGV inégalée. Prix moyen : 5 400–6 200 EUR/m². Rendement brut indicatif : 4,5–5,5 %.</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4e
Croix-Rousse</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Quartier bohème à forte identité, clientèle jeune active très demandée. Rare foncier disponible = tension locative pérenne. Opérations de réhabilitation compatibles Jeanbrun. Prix moyen : 5 200–6 000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5e
Vieux-Lyon / Saint-Just</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Double flux : tourisme résidentiel et demande locale. Bon candidat pour une stratégie locative longue durée. Prix moyen : 5 000–5 800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7e
Gerland / Jean-Macé</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ZAC Gerland en pleine transformation, universités, hôpitaux. Meilleur rapport prix/rendement de Lyon intramuros. Prix moyen : 4 800–5 500 EUR/m². Rendement : 5–6 %.</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8e
Mermoz / Bachut</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Arrondissement en montée en gamme avec prolongement du métro D. Clientèle dense : soignants CHU, étudiants, cadres. Meilleur rendement brut de Lyon intramuros. Prix moyen : 4 400–5 200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Lyon 9e
Vaise / La Duchère</w:t>
            </w:r>
          </w:p>
          <w:p>
            <w:r>
              <w:rPr>
                <w:rFonts w:ascii="Arial" w:cs="Arial" w:eastAsia="Arial" w:hAnsi="Arial"/>
                <w:b/>
                <w:bCs/>
                <w:caps/>
                <w:color w:val="1A7A5B"/>
                <w:sz w:val="15"/>
                <w:szCs w:val="15"/>
              </w:rPr>
              <w:t xml:space="preserve">DYNAMIQUE MONTANTE</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Pôle tertiaire Vaise en développement, métro D, accès A6. Prix encore abordables. Stratégie rendement + revalorisation à horizon 10 ans. Prix moyen : 4 200–5 000 EUR/m².</w:t>
            </w:r>
          </w:p>
        </w:tc>
      </w:tr>
    </w:tbl>
    <w:p>
      <w:pPr>
        <w:spacing w:after="240"/>
      </w:pPr>
      <w:r>
        <w:t xml:space="preserve"/>
      </w:r>
    </w:p>
    <w:p>
      <w:r>
        <w:br w:type="page"/>
      </w:r>
    </w:p>
    <w:p>
      <w:pPr>
        <w:pStyle w:val="Heading2"/>
        <w:shd w:fill="2A7A5B" w:val="clear"/>
        <w:spacing w:after="160" w:before="300"/>
        <w:ind w:left="160"/>
      </w:pPr>
      <w:r>
        <w:rPr>
          <w:rFonts w:ascii="Arial" w:cs="Arial" w:eastAsia="Arial" w:hAnsi="Arial"/>
          <w:b/>
          <w:bCs/>
          <w:color w:val="FFFFFF"/>
          <w:sz w:val="26"/>
          <w:szCs w:val="26"/>
        </w:rPr>
        <w:t xml:space="preserve">Premiere couronne — Communes limitrophes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Villeurbanne</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2e ville du Rhône, Lyon 1, tension locative chronique, programmes neufs Jeanbrun réguliers. Prix 10–15 % inférieurs à Lyon intramuros, rendement supérieur. Prix moyen : 4 000–5 000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Décines-Charpieu</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Transformation via le Parc OL. Desserte T3, accès Part-Dieu. T2/T3 pour cadres et familles. Prix moyen : 3 600–4 400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Bron</w:t>
            </w:r>
          </w:p>
          <w:p>
            <w:r>
              <w:rPr>
                <w:rFonts w:ascii="Arial" w:cs="Arial" w:eastAsia="Arial" w:hAnsi="Arial"/>
                <w:b/>
                <w:bCs/>
                <w:caps/>
                <w:color w:val="1A7A5B"/>
                <w:sz w:val="15"/>
                <w:szCs w:val="15"/>
              </w:rPr>
              <w:t xml:space="preserve">DYNAMIQUE MONTANTE</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Commune universitaire (campus Lyon 2 Bron). Connexion tramway directe Part-Dieu. Prix accessibles pour primo-investisseurs. Prix moyen : 3 200–4 200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Tassin-la-Demi-Lune</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Résidentiel haut de gamme à l'ouest de Lyon. Profil : cadres, familles, expatriés. Niche T3/T4 fort standing. Prix moyen : 4 500–5 500 EUR/m². Faible risque de vacance.</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Craponne</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Développement résidentiel Ouest lyonnais. Accès A450, profil familial. Opérations maisons et collectifs neufs éligibles. Prix moyen : 3 800–4 600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Villefranche-sur-Saône</w:t>
            </w:r>
          </w:p>
          <w:p>
            <w:r>
              <w:rPr>
                <w:rFonts w:ascii="Arial" w:cs="Arial" w:eastAsia="Arial" w:hAnsi="Arial"/>
                <w:b/>
                <w:bCs/>
                <w:caps/>
                <w:color w:val="1A7A5B"/>
                <w:sz w:val="15"/>
                <w:szCs w:val="15"/>
              </w:rPr>
              <w:t xml:space="preserve">DYNAMIQUE MONTANTE</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Préfecture du Rhône, liaison Lyon-Perrache en 25 min. Rendements attractifs, moins concurrentiel. Stratégie patrimoniale premier prix. Prix moyen : 2 600–3 400 EUR/m².</w:t>
            </w:r>
          </w:p>
        </w:tc>
      </w:tr>
    </w:tbl>
    <w:p>
      <w:pPr>
        <w:spacing w:after="240"/>
      </w:pPr>
      <w:r>
        <w:t xml:space="preserve"/>
      </w:r>
    </w:p>
    <w:p>
      <w:r>
        <w:br w:type="page"/>
      </w:r>
    </w:p>
    <w:p>
      <w:pPr>
        <w:pStyle w:val="Heading2"/>
        <w:shd w:fill="2A7A5B" w:val="clear"/>
        <w:spacing w:after="160" w:before="300"/>
        <w:ind w:left="160"/>
      </w:pPr>
      <w:r>
        <w:rPr>
          <w:rFonts w:ascii="Arial" w:cs="Arial" w:eastAsia="Arial" w:hAnsi="Arial"/>
          <w:b/>
          <w:bCs/>
          <w:color w:val="FFFFFF"/>
          <w:sz w:val="26"/>
          <w:szCs w:val="26"/>
        </w:rPr>
        <w:t xml:space="preserve">Grandes villes de Rhone-Alpes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Grenoble</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Capitale de l'innovation (CEA, ST Micro, Schneider). Tension locative étudiante et cadre parmi les plus fortes hors Paris. Rendements 5,5–7 % brut. Prix moyen : 3 000–4 000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Annecy</w:t>
            </w:r>
          </w:p>
          <w:p>
            <w:r>
              <w:rPr>
                <w:rFonts w:ascii="Arial" w:cs="Arial" w:eastAsia="Arial" w:hAnsi="Arial"/>
                <w:b/>
                <w:bCs/>
                <w:caps/>
                <w:color w:val="C8973A"/>
                <w:sz w:val="15"/>
                <w:szCs w:val="15"/>
              </w:rPr>
              <w:t xml:space="preserve">POTENTIEL TRÈS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Ville la plus chère de la région hors Lyon. Demande structurellement excédentaire. Locataires haut de gamme, vacance quasi nulle. Excellent vecteur de revalorisation. Prix moyen : 4 800–6 500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Chambéry</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A mi-chemin Lyon–Genève. Ingénieurs, fonctionnaires, étudiants. Rares programmes neufs = moins de concurrence. Prix moyen : 2 800–3 600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Clermont-Ferrand</w:t>
            </w:r>
          </w:p>
          <w:p>
            <w:r>
              <w:rPr>
                <w:rFonts w:ascii="Arial" w:cs="Arial" w:eastAsia="Arial" w:hAnsi="Arial"/>
                <w:b/>
                <w:bCs/>
                <w:caps/>
                <w:color w:val="2A7A5B"/>
                <w:sz w:val="15"/>
                <w:szCs w:val="15"/>
              </w:rPr>
              <w:t xml:space="preserve">POTENTIEL FORT</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Métropole auvergnate en rattrapage (Michelin, Limagrain). Rendements parmi les plus élevés de la région pour un prix d'entrée bas. Idéal pour du cash-flow immédiat. Prix moyen : 1 900–2 800 EUR/m².</w:t>
            </w:r>
          </w:p>
        </w:tc>
      </w:tr>
      <w:tr>
        <w:tc>
          <w:tcPr>
            <w:tcW w:type="dxa" w:w="2200"/>
            <w:tcBorders>
              <w:top w:val="single" w:color="CCCCCC" w:sz="1"/>
              <w:left w:val="single" w:color="CCCCCC" w:sz="1"/>
              <w:bottom w:val="single" w:color="CCCCCC" w:sz="1"/>
              <w:right w:val="single" w:color="CCCCCC" w:sz="1"/>
            </w:tcBorders>
            <w:shd w:fill="E8F4F0" w:val="clear"/>
            <w:tcMar>
              <w:top w:type="dxa" w:w="100"/>
              <w:left w:type="dxa" w:w="160"/>
              <w:bottom w:type="dxa" w:w="100"/>
              <w:right w:type="dxa" w:w="160"/>
            </w:tcMar>
            <w:vAlign w:val="center"/>
          </w:tcPr>
          <w:p>
            <w:pPr>
              <w:spacing w:after="60"/>
            </w:pPr>
            <w:r>
              <w:rPr>
                <w:rFonts w:ascii="Arial" w:cs="Arial" w:eastAsia="Arial" w:hAnsi="Arial"/>
                <w:b/>
                <w:bCs/>
                <w:color w:val="0D1F3C"/>
                <w:sz w:val="20"/>
                <w:szCs w:val="20"/>
              </w:rPr>
              <w:t xml:space="preserve">Thonon-les-Bains</w:t>
            </w:r>
          </w:p>
          <w:p>
            <w:r>
              <w:rPr>
                <w:rFonts w:ascii="Arial" w:cs="Arial" w:eastAsia="Arial" w:hAnsi="Arial"/>
                <w:b/>
                <w:bCs/>
                <w:caps/>
                <w:color w:val="1A7A5B"/>
                <w:sz w:val="15"/>
                <w:szCs w:val="15"/>
              </w:rPr>
              <w:t xml:space="preserve">DYNAMIQUE MONTANTE</w:t>
            </w:r>
          </w:p>
        </w:tc>
        <w:tc>
          <w:tcPr>
            <w:tcW w:type="dxa" w:w="71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444444"/>
                <w:sz w:val="19"/>
                <w:szCs w:val="19"/>
              </w:rPr>
              <w:t xml:space="preserve">Lac Léman côté français, attractivité frontalière genevoise. Fort pouvoir d'achat locatif des frontaliers. Programmes neufs éligibles Jeanbrun à surveiller en 2026. Prix moyen : 3 200–4 500 EUR/m².</w:t>
            </w:r>
          </w:p>
        </w:tc>
      </w:tr>
    </w:tbl>
    <w:p>
      <w:pPr>
        <w:spacing w:after="240"/>
      </w:pPr>
      <w:r>
        <w:t xml:space="preserve"/>
      </w:r>
    </w:p>
    <w:p>
      <w:r>
        <w:br w:type="page"/>
      </w:r>
    </w:p>
    <w:p>
      <w:pPr>
        <w:spacing w:after="60" w:before="240"/>
      </w:pPr>
      <w:r>
        <w:rPr>
          <w:rFonts w:ascii="Arial" w:cs="Arial" w:eastAsia="Arial" w:hAnsi="Arial"/>
          <w:b/>
          <w:bCs/>
          <w:caps/>
          <w:color w:val="2A7A5B"/>
          <w:sz w:val="16"/>
          <w:szCs w:val="16"/>
        </w:rPr>
        <w:t xml:space="preserve">SIMULATION FISCALE</w:t>
      </w:r>
    </w:p>
    <w:p>
      <w:pPr>
        <w:pStyle w:val="Heading1"/>
        <w:shd w:fill="0D1F3C" w:val="clear"/>
        <w:spacing w:after="180" w:before="360"/>
        <w:ind w:left="200"/>
      </w:pPr>
      <w:r>
        <w:rPr>
          <w:rFonts w:ascii="Arial" w:cs="Arial" w:eastAsia="Arial" w:hAnsi="Arial"/>
          <w:b/>
          <w:bCs/>
          <w:color w:val="FFFFFF"/>
          <w:sz w:val="32"/>
          <w:szCs w:val="32"/>
        </w:rPr>
        <w:t xml:space="preserve">Impact fiscal du statut bailleur prive selon votre tranche d'imposition</w:t>
      </w:r>
    </w:p>
    <w:p>
      <w:pPr>
        <w:spacing w:after="140"/>
      </w:pPr>
      <w:r>
        <w:rPr>
          <w:rFonts w:ascii="Arial" w:cs="Arial" w:eastAsia="Arial" w:hAnsi="Arial"/>
          <w:color w:val="333333"/>
          <w:sz w:val="20"/>
          <w:szCs w:val="20"/>
        </w:rPr>
        <w:t xml:space="preserve">Le dispositif Jeanbrun est particulièrement puissant pour les contribuables dont la TMI est supérieure ou égale à 30 %. Illustration comparative sur une acquisition de 250 000 EUR HT de foncier amortissable.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900"/>
        <w:gridCol w:w="1860"/>
        <w:gridCol w:w="2200"/>
        <w:gridCol w:w="1800"/>
      </w:tblGrid>
      <w:tr>
        <w:trPr>
          <w:tblHeader/>
        </w:trPr>
        <w:tc>
          <w:tcPr>
            <w:tcW w:type="dxa" w:w="2600"/>
            <w:tcBorders>
              <w:top w:val="single" w:color="CCCCCC" w:sz="1"/>
              <w:left w:val="single" w:color="CCCCCC" w:sz="1"/>
              <w:bottom w:val="single" w:color="CCCCCC" w:sz="1"/>
              <w:right w:val="single" w:color="CCCCCC" w:sz="1"/>
            </w:tcBorders>
            <w:shd w:fill="0D1F3C"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Profil investisseur</w:t>
            </w:r>
          </w:p>
        </w:tc>
        <w:tc>
          <w:tcPr>
            <w:tcW w:type="dxa" w:w="900"/>
            <w:tcBorders>
              <w:top w:val="single" w:color="CCCCCC" w:sz="1"/>
              <w:left w:val="single" w:color="CCCCCC" w:sz="1"/>
              <w:bottom w:val="single" w:color="CCCCCC" w:sz="1"/>
              <w:right w:val="single" w:color="CCCCCC" w:sz="1"/>
            </w:tcBorders>
            <w:shd w:fill="0D1F3C"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TMI</w:t>
            </w:r>
          </w:p>
        </w:tc>
        <w:tc>
          <w:tcPr>
            <w:tcW w:type="dxa" w:w="1860"/>
            <w:tcBorders>
              <w:top w:val="single" w:color="CCCCCC" w:sz="1"/>
              <w:left w:val="single" w:color="CCCCCC" w:sz="1"/>
              <w:bottom w:val="single" w:color="CCCCCC" w:sz="1"/>
              <w:right w:val="single" w:color="CCCCCC" w:sz="1"/>
            </w:tcBorders>
            <w:shd w:fill="0D1F3C"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Amortissement annuel</w:t>
            </w:r>
          </w:p>
        </w:tc>
        <w:tc>
          <w:tcPr>
            <w:tcW w:type="dxa" w:w="2200"/>
            <w:tcBorders>
              <w:top w:val="single" w:color="CCCCCC" w:sz="1"/>
              <w:left w:val="single" w:color="CCCCCC" w:sz="1"/>
              <w:bottom w:val="single" w:color="CCCCCC" w:sz="1"/>
              <w:right w:val="single" w:color="CCCCCC" w:sz="1"/>
            </w:tcBorders>
            <w:shd w:fill="0D1F3C"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Economie fiscale estimee</w:t>
            </w:r>
          </w:p>
        </w:tc>
        <w:tc>
          <w:tcPr>
            <w:tcW w:type="dxa" w:w="1800"/>
            <w:tcBorders>
              <w:top w:val="single" w:color="CCCCCC" w:sz="1"/>
              <w:left w:val="single" w:color="CCCCCC" w:sz="1"/>
              <w:bottom w:val="single" w:color="CCCCCC" w:sz="1"/>
              <w:right w:val="single" w:color="CCCCCC" w:sz="1"/>
            </w:tcBorders>
            <w:shd w:fill="0D1F3C"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Rendement net</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Cadre - revenus 55 000 EUR/an</w:t>
            </w:r>
          </w:p>
        </w:tc>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30 %</w:t>
            </w:r>
          </w:p>
        </w:tc>
        <w:tc>
          <w:tcPr>
            <w:tcW w:type="dxa" w:w="1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~8 333 EUR</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2A7A5B"/>
                <w:sz w:val="18"/>
                <w:szCs w:val="18"/>
              </w:rPr>
              <w:t xml:space="preserve">~2 500 EUR/an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4,2 - 5,0 %</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Cadre dirigeant - revenus 85 000 EUR/an</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41 %</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~8 333 EUR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color w:val="2A7A5B"/>
                <w:sz w:val="18"/>
                <w:szCs w:val="18"/>
              </w:rPr>
              <w:t xml:space="preserve">~3 416 EUR/an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4,8 - 5,8 %</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Profession liberale - revenus 130 000 EUR/an</w:t>
            </w:r>
          </w:p>
        </w:tc>
        <w:tc>
          <w:tcPr>
            <w:tcW w:type="dxa" w:w="9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45 %</w:t>
            </w:r>
          </w:p>
        </w:tc>
        <w:tc>
          <w:tcPr>
            <w:tcW w:type="dxa" w:w="1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~8 333 EUR</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2A7A5B"/>
                <w:sz w:val="18"/>
                <w:szCs w:val="18"/>
              </w:rPr>
              <w:t xml:space="preserve">~3 750 EUR/an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8"/>
                <w:szCs w:val="18"/>
              </w:rPr>
              <w:t xml:space="preserve">5,2 - 6,5 %</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Couple - revenus 100 000 EUR/an (commun)</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30-41 %</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~8 333 EUR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color w:val="2A7A5B"/>
                <w:sz w:val="18"/>
                <w:szCs w:val="18"/>
              </w:rPr>
              <w:t xml:space="preserve">~2 700 EUR/an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18"/>
                <w:szCs w:val="18"/>
              </w:rPr>
              <w:t xml:space="preserve">4,5 - 5,5 %</w:t>
            </w:r>
          </w:p>
        </w:tc>
      </w:tr>
    </w:tbl>
    <w:p>
      <w:pPr>
        <w:spacing w:after="80"/>
      </w:pPr>
      <w:r>
        <w:t xml:space="preserve"/>
      </w:r>
    </w:p>
    <w:p>
      <w:pPr>
        <w:spacing w:after="140"/>
      </w:pPr>
      <w:r>
        <w:rPr>
          <w:rFonts w:ascii="Arial" w:cs="Arial" w:eastAsia="Arial" w:hAnsi="Arial"/>
          <w:color w:val="999999"/>
          <w:sz w:val="16"/>
          <w:szCs w:val="16"/>
        </w:rPr>
        <w:t xml:space="preserve">* Estimations indicatives. Résultats variables selon la structure du financement, les charges réelles et le régime fiscal applicable. Simulation personnalisée disponible sur rendez-vous.</w:t>
      </w:r>
    </w:p>
    <w:p>
      <w:pPr>
        <w:spacing w:after="240"/>
      </w:pPr>
      <w:r>
        <w:t xml:space="preserve"/>
      </w:r>
    </w:p>
    <w:p>
      <w:r>
        <w:br w:type="page"/>
      </w:r>
    </w:p>
    <w:p>
      <w:pPr>
        <w:spacing w:after="60" w:before="240"/>
      </w:pPr>
      <w:r>
        <w:rPr>
          <w:rFonts w:ascii="Arial" w:cs="Arial" w:eastAsia="Arial" w:hAnsi="Arial"/>
          <w:b/>
          <w:bCs/>
          <w:caps/>
          <w:color w:val="2A7A5B"/>
          <w:sz w:val="16"/>
          <w:szCs w:val="16"/>
        </w:rPr>
        <w:t xml:space="preserve">POURQUOI EN 2026 ?</w:t>
      </w:r>
    </w:p>
    <w:p>
      <w:pPr>
        <w:pStyle w:val="Heading1"/>
        <w:shd w:fill="0D1F3C" w:val="clear"/>
        <w:spacing w:after="180" w:before="360"/>
        <w:ind w:left="200"/>
      </w:pPr>
      <w:r>
        <w:rPr>
          <w:rFonts w:ascii="Arial" w:cs="Arial" w:eastAsia="Arial" w:hAnsi="Arial"/>
          <w:b/>
          <w:bCs/>
          <w:color w:val="FFFFFF"/>
          <w:sz w:val="32"/>
          <w:szCs w:val="32"/>
        </w:rPr>
        <w:t xml:space="preserve">5 raisons d'agir maintenant avec le statut bailleur prive</w:t>
      </w:r>
    </w:p>
    <w:p>
      <w:pPr>
        <w:spacing w:after="140"/>
      </w:pPr>
      <w:r>
        <w:rPr>
          <w:rFonts w:ascii="Arial" w:cs="Arial" w:eastAsia="Arial" w:hAnsi="Arial"/>
          <w:color w:val="333333"/>
          <w:sz w:val="20"/>
          <w:szCs w:val="20"/>
        </w:rPr>
        <w:t xml:space="preserve">La fenêtre d'opportunité ne restera pas ouverte indéfiniment. Voici pourquoi 2026 est une année charnière pour investir en loi Jeanbrun en Rhône-Alpes.</w:t>
      </w:r>
    </w:p>
    <w:p>
      <w:pPr>
        <w:spacing w:after="80"/>
      </w:pPr>
      <w:r>
        <w:t xml:space="preserve"/>
      </w:r>
    </w:p>
    <w:p>
      <w:pPr>
        <w:pStyle w:val="Heading3"/>
        <w:pBdr>
          <w:bottom w:val="single" w:color="C8973A" w:sz="4" w:space="2"/>
        </w:pBdr>
        <w:spacing w:after="100" w:before="240"/>
      </w:pPr>
      <w:r>
        <w:rPr>
          <w:rFonts w:ascii="Arial" w:cs="Arial" w:eastAsia="Arial" w:hAnsi="Arial"/>
          <w:b/>
          <w:bCs/>
          <w:color w:val="0D1F3C"/>
          <w:sz w:val="22"/>
          <w:szCs w:val="22"/>
        </w:rPr>
        <w:t xml:space="preserve">1. Taux en repli</w:t>
      </w:r>
    </w:p>
    <w:p>
      <w:pPr>
        <w:spacing w:after="140"/>
      </w:pPr>
      <w:r>
        <w:rPr>
          <w:rFonts w:ascii="Arial" w:cs="Arial" w:eastAsia="Arial" w:hAnsi="Arial"/>
          <w:color w:val="333333"/>
          <w:sz w:val="20"/>
          <w:szCs w:val="20"/>
        </w:rPr>
        <w:t xml:space="preserve">Après deux années de hausse, les taux de crédit immobilier se stabilisent entre 3,2 % et 3,8 % en 2026. Le coût du financement retrouve des niveaux soutenables pour les investisseurs.</w:t>
      </w:r>
    </w:p>
    <w:p>
      <w:pPr>
        <w:pStyle w:val="Heading3"/>
        <w:pBdr>
          <w:bottom w:val="single" w:color="C8973A" w:sz="4" w:space="2"/>
        </w:pBdr>
        <w:spacing w:after="100" w:before="240"/>
      </w:pPr>
      <w:r>
        <w:rPr>
          <w:rFonts w:ascii="Arial" w:cs="Arial" w:eastAsia="Arial" w:hAnsi="Arial"/>
          <w:b/>
          <w:bCs/>
          <w:color w:val="0D1F3C"/>
          <w:sz w:val="22"/>
          <w:szCs w:val="22"/>
        </w:rPr>
        <w:t xml:space="preserve">2. Pression locative record</w:t>
      </w:r>
    </w:p>
    <w:p>
      <w:pPr>
        <w:spacing w:after="140"/>
      </w:pPr>
      <w:r>
        <w:rPr>
          <w:rFonts w:ascii="Arial" w:cs="Arial" w:eastAsia="Arial" w:hAnsi="Arial"/>
          <w:color w:val="333333"/>
          <w:sz w:val="20"/>
          <w:szCs w:val="20"/>
        </w:rPr>
        <w:t xml:space="preserve">Lyon, Grenoble et Annecy affichent des taux de vacance locative inférieurs à 3 %. Trouver un locataire rapidement et maintenir un loyer de marché n'a jamais été aussi aisé.</w:t>
      </w:r>
    </w:p>
    <w:p>
      <w:pPr>
        <w:pStyle w:val="Heading3"/>
        <w:pBdr>
          <w:bottom w:val="single" w:color="C8973A" w:sz="4" w:space="2"/>
        </w:pBdr>
        <w:spacing w:after="100" w:before="240"/>
      </w:pPr>
      <w:r>
        <w:rPr>
          <w:rFonts w:ascii="Arial" w:cs="Arial" w:eastAsia="Arial" w:hAnsi="Arial"/>
          <w:b/>
          <w:bCs/>
          <w:color w:val="0D1F3C"/>
          <w:sz w:val="22"/>
          <w:szCs w:val="22"/>
        </w:rPr>
        <w:t xml:space="preserve">3. Dispositif encore méconnu</w:t>
      </w:r>
    </w:p>
    <w:p>
      <w:pPr>
        <w:spacing w:after="140"/>
      </w:pPr>
      <w:r>
        <w:rPr>
          <w:rFonts w:ascii="Arial" w:cs="Arial" w:eastAsia="Arial" w:hAnsi="Arial"/>
          <w:color w:val="333333"/>
          <w:sz w:val="20"/>
          <w:szCs w:val="20"/>
        </w:rPr>
        <w:t xml:space="preserve">Le statut bailleur privé Jeanbrun est encore sous-exploité par les investisseurs. Les premiers entrants bénéficient des meilleures opportunités de programmes avant saturation du marché.</w:t>
      </w:r>
    </w:p>
    <w:p>
      <w:pPr>
        <w:pStyle w:val="Heading3"/>
        <w:pBdr>
          <w:bottom w:val="single" w:color="C8973A" w:sz="4" w:space="2"/>
        </w:pBdr>
        <w:spacing w:after="100" w:before="240"/>
      </w:pPr>
      <w:r>
        <w:rPr>
          <w:rFonts w:ascii="Arial" w:cs="Arial" w:eastAsia="Arial" w:hAnsi="Arial"/>
          <w:b/>
          <w:bCs/>
          <w:color w:val="0D1F3C"/>
          <w:sz w:val="22"/>
          <w:szCs w:val="22"/>
        </w:rPr>
        <w:t xml:space="preserve">4. Inflation maîtrisée des coûts</w:t>
      </w:r>
    </w:p>
    <w:p>
      <w:pPr>
        <w:spacing w:after="140"/>
      </w:pPr>
      <w:r>
        <w:rPr>
          <w:rFonts w:ascii="Arial" w:cs="Arial" w:eastAsia="Arial" w:hAnsi="Arial"/>
          <w:color w:val="333333"/>
          <w:sz w:val="20"/>
          <w:szCs w:val="20"/>
        </w:rPr>
        <w:t xml:space="preserve">Après le pic de 2022–2023, les coûts de construction se stabilisent. Les promoteurs proposent à nouveau des offres compétitives avec des délais de livraison raisonnables.</w:t>
      </w:r>
    </w:p>
    <w:p>
      <w:pPr>
        <w:pStyle w:val="Heading3"/>
        <w:pBdr>
          <w:bottom w:val="single" w:color="C8973A" w:sz="4" w:space="2"/>
        </w:pBdr>
        <w:spacing w:after="100" w:before="240"/>
      </w:pPr>
      <w:r>
        <w:rPr>
          <w:rFonts w:ascii="Arial" w:cs="Arial" w:eastAsia="Arial" w:hAnsi="Arial"/>
          <w:b/>
          <w:bCs/>
          <w:color w:val="0D1F3C"/>
          <w:sz w:val="22"/>
          <w:szCs w:val="22"/>
        </w:rPr>
        <w:t xml:space="preserve">5. Transition énergétique</w:t>
      </w:r>
    </w:p>
    <w:p>
      <w:pPr>
        <w:spacing w:after="140"/>
      </w:pPr>
      <w:r>
        <w:rPr>
          <w:rFonts w:ascii="Arial" w:cs="Arial" w:eastAsia="Arial" w:hAnsi="Arial"/>
          <w:color w:val="333333"/>
          <w:sz w:val="20"/>
          <w:szCs w:val="20"/>
        </w:rPr>
        <w:t xml:space="preserve">Le neuf BBC garantit des logements compatibles DPE A/B, à l'abri des restrictions locatives sur les passoires énergétiques. Un avantage compétitif durable face à l'ancien.</w:t>
      </w:r>
    </w:p>
    <w:p>
      <w:pPr>
        <w:spacing w:after="240"/>
      </w:pPr>
      <w:r>
        <w:t xml:space="preserve"/>
      </w:r>
    </w:p>
    <w:p>
      <w:r>
        <w:br w:type="page"/>
      </w:r>
    </w:p>
    <w:p>
      <w:pPr>
        <w:spacing w:after="60" w:before="240"/>
      </w:pPr>
      <w:r>
        <w:rPr>
          <w:rFonts w:ascii="Arial" w:cs="Arial" w:eastAsia="Arial" w:hAnsi="Arial"/>
          <w:b/>
          <w:bCs/>
          <w:caps/>
          <w:color w:val="2A7A5B"/>
          <w:sz w:val="16"/>
          <w:szCs w:val="16"/>
        </w:rPr>
        <w:t xml:space="preserve">QUESTIONS FREQUENTES</w:t>
      </w:r>
    </w:p>
    <w:p>
      <w:pPr>
        <w:pStyle w:val="Heading1"/>
        <w:shd w:fill="0D1F3C" w:val="clear"/>
        <w:spacing w:after="180" w:before="360"/>
        <w:ind w:left="200"/>
      </w:pPr>
      <w:r>
        <w:rPr>
          <w:rFonts w:ascii="Arial" w:cs="Arial" w:eastAsia="Arial" w:hAnsi="Arial"/>
          <w:b/>
          <w:bCs/>
          <w:color w:val="FFFFFF"/>
          <w:sz w:val="32"/>
          <w:szCs w:val="32"/>
        </w:rPr>
        <w:t xml:space="preserve">Tout ce que vous devez savoir avant d'investir en loi Jeanbrun</w:t>
      </w:r>
    </w:p>
    <w:p>
      <w:pPr>
        <w:spacing w:after="80"/>
      </w:pPr>
      <w:r>
        <w:t xml:space="preserve"/>
      </w:r>
    </w:p>
    <w:p>
      <w:pPr>
        <w:pStyle w:val="Heading3"/>
        <w:pBdr>
          <w:bottom w:val="single" w:color="C8973A" w:sz="4" w:space="2"/>
        </w:pBdr>
        <w:spacing w:after="100" w:before="240"/>
      </w:pPr>
      <w:r>
        <w:rPr>
          <w:rFonts w:ascii="Arial" w:cs="Arial" w:eastAsia="Arial" w:hAnsi="Arial"/>
          <w:b/>
          <w:bCs/>
          <w:color w:val="0D1F3C"/>
          <w:sz w:val="22"/>
          <w:szCs w:val="22"/>
        </w:rPr>
        <w:t xml:space="preserve">Quelle est la difference entre la loi Jeanbrun et l'ancien dispositif Pinel ?</w:t>
      </w:r>
    </w:p>
    <w:p>
      <w:pPr>
        <w:spacing w:after="140"/>
      </w:pPr>
      <w:r>
        <w:rPr>
          <w:rFonts w:ascii="Arial" w:cs="Arial" w:eastAsia="Arial" w:hAnsi="Arial"/>
          <w:color w:val="333333"/>
          <w:sz w:val="20"/>
          <w:szCs w:val="20"/>
        </w:rPr>
        <w:t xml:space="preserve">Le dispositif Pinel reposait sur une réduction d'impôt calculée sur le prix d'acquisition (jusqu'à 21 % sur 12 ans), avec des contraintes de loyer et de ressources locataires strictes. Le statut bailleur privé Jeanbrun, lui, repose sur un mécanisme d'amortissement comptable du bien et de déductibilité majorée du déficit foncier, sans plafonds aussi rigides. Pour les hauts revenus, l'économie fiscale est structurellement supérieure sur le long terme.</w:t>
      </w:r>
    </w:p>
    <w:p>
      <w:pPr>
        <w:pStyle w:val="Heading3"/>
        <w:pBdr>
          <w:bottom w:val="single" w:color="C8973A" w:sz="4" w:space="2"/>
        </w:pBdr>
        <w:spacing w:after="100" w:before="240"/>
      </w:pPr>
      <w:r>
        <w:rPr>
          <w:rFonts w:ascii="Arial" w:cs="Arial" w:eastAsia="Arial" w:hAnsi="Arial"/>
          <w:b/>
          <w:bCs/>
          <w:color w:val="0D1F3C"/>
          <w:sz w:val="22"/>
          <w:szCs w:val="22"/>
        </w:rPr>
        <w:t xml:space="preserve">Faut-il investir dans le neuf pour beneficier du statut bailleur prive ?</w:t>
      </w:r>
    </w:p>
    <w:p>
      <w:pPr>
        <w:spacing w:after="140"/>
      </w:pPr>
      <w:r>
        <w:rPr>
          <w:rFonts w:ascii="Arial" w:cs="Arial" w:eastAsia="Arial" w:hAnsi="Arial"/>
          <w:color w:val="333333"/>
          <w:sz w:val="20"/>
          <w:szCs w:val="20"/>
        </w:rPr>
        <w:t xml:space="preserve">Non. Le dispositif peut s'appliquer à des opérations de réhabilitation lourde sur des logements anciens remis à neuf, sous conditions de performance énergétique. Toutefois, les programmes neufs restent le support le plus simple et le plus sécurisé pour bénéficier du régime fiscal et des garanties constructeur.</w:t>
      </w:r>
    </w:p>
    <w:p>
      <w:pPr>
        <w:pStyle w:val="Heading3"/>
        <w:pBdr>
          <w:bottom w:val="single" w:color="C8973A" w:sz="4" w:space="2"/>
        </w:pBdr>
        <w:spacing w:after="100" w:before="240"/>
      </w:pPr>
      <w:r>
        <w:rPr>
          <w:rFonts w:ascii="Arial" w:cs="Arial" w:eastAsia="Arial" w:hAnsi="Arial"/>
          <w:b/>
          <w:bCs/>
          <w:color w:val="0D1F3C"/>
          <w:sz w:val="22"/>
          <w:szCs w:val="22"/>
        </w:rPr>
        <w:t xml:space="preserve">Quelle duree de detention est recommandee ?</w:t>
      </w:r>
    </w:p>
    <w:p>
      <w:pPr>
        <w:spacing w:after="140"/>
      </w:pPr>
      <w:r>
        <w:rPr>
          <w:rFonts w:ascii="Arial" w:cs="Arial" w:eastAsia="Arial" w:hAnsi="Arial"/>
          <w:color w:val="333333"/>
          <w:sz w:val="20"/>
          <w:szCs w:val="20"/>
        </w:rPr>
        <w:t xml:space="preserve">L'optimisation fiscale est maximale sur une durée de détention comprise entre 15 et 20 ans, correspondant à la période d'amortissement principal du bien. Une revente anticipée est possible, mais nécessite une analyse fine de la plus-value résiduelle.</w:t>
      </w:r>
    </w:p>
    <w:p>
      <w:pPr>
        <w:pStyle w:val="Heading3"/>
        <w:pBdr>
          <w:bottom w:val="single" w:color="C8973A" w:sz="4" w:space="2"/>
        </w:pBdr>
        <w:spacing w:after="100" w:before="240"/>
      </w:pPr>
      <w:r>
        <w:rPr>
          <w:rFonts w:ascii="Arial" w:cs="Arial" w:eastAsia="Arial" w:hAnsi="Arial"/>
          <w:b/>
          <w:bCs/>
          <w:color w:val="0D1F3C"/>
          <w:sz w:val="22"/>
          <w:szCs w:val="22"/>
        </w:rPr>
        <w:t xml:space="preserve">Peut-on louer a un membre de sa famille ?</w:t>
      </w:r>
    </w:p>
    <w:p>
      <w:pPr>
        <w:spacing w:after="140"/>
      </w:pPr>
      <w:r>
        <w:rPr>
          <w:rFonts w:ascii="Arial" w:cs="Arial" w:eastAsia="Arial" w:hAnsi="Arial"/>
          <w:color w:val="333333"/>
          <w:sz w:val="20"/>
          <w:szCs w:val="20"/>
        </w:rPr>
        <w:t xml:space="preserve">Oui, sous certaines conditions. La location à un ascendant ou descendant est autorisée à condition que ce dernier ne soit pas rattaché au foyer fiscal de l'investisseur. Cette souplesse est l'un des avantages par rapport aux anciennes lois de défiscalisation.</w:t>
      </w:r>
    </w:p>
    <w:p>
      <w:pPr>
        <w:pStyle w:val="Heading3"/>
        <w:pBdr>
          <w:bottom w:val="single" w:color="C8973A" w:sz="4" w:space="2"/>
        </w:pBdr>
        <w:spacing w:after="100" w:before="240"/>
      </w:pPr>
      <w:r>
        <w:rPr>
          <w:rFonts w:ascii="Arial" w:cs="Arial" w:eastAsia="Arial" w:hAnsi="Arial"/>
          <w:b/>
          <w:bCs/>
          <w:color w:val="0D1F3C"/>
          <w:sz w:val="22"/>
          <w:szCs w:val="22"/>
        </w:rPr>
        <w:t xml:space="preserve">Le statut bailleur prive est-il cumulable avec un pret immobilier ?</w:t>
      </w:r>
    </w:p>
    <w:p>
      <w:pPr>
        <w:spacing w:after="140"/>
      </w:pPr>
      <w:r>
        <w:rPr>
          <w:rFonts w:ascii="Arial" w:cs="Arial" w:eastAsia="Arial" w:hAnsi="Arial"/>
          <w:color w:val="333333"/>
          <w:sz w:val="20"/>
          <w:szCs w:val="20"/>
        </w:rPr>
        <w:t xml:space="preserve">Oui, et c'est même recommandé. Les intérêts d'emprunt constituent des charges déductibles supplémentaires qui amplifient le déficit foncier imputable sur le revenu global, maximisant ainsi l'effet fiscal pendant la phase de remboursement du crédit.</w:t>
      </w:r>
    </w:p>
    <w:p>
      <w:pPr>
        <w:spacing w:after="320"/>
      </w:pPr>
      <w:r>
        <w:t xml:space="preserve"/>
      </w:r>
    </w:p>
    <w:p>
      <w:pPr>
        <w:shd w:fill="2A7A5B" w:val="clear"/>
        <w:spacing w:after="80" w:before="240"/>
        <w:ind w:left="200"/>
      </w:pPr>
      <w:r>
        <w:rPr>
          <w:rFonts w:ascii="Arial" w:cs="Arial" w:eastAsia="Arial" w:hAnsi="Arial"/>
          <w:b/>
          <w:bCs/>
          <w:color w:val="FFFFFF"/>
          <w:sz w:val="30"/>
          <w:szCs w:val="30"/>
        </w:rPr>
        <w:t xml:space="preserve">Pret a investir en loi Jeanbrun en Rhone-Alpes ?</w:t>
      </w:r>
    </w:p>
    <w:p>
      <w:pPr>
        <w:shd w:fill="2A7A5B" w:val="clear"/>
        <w:spacing w:after="80"/>
        <w:ind w:left="200"/>
      </w:pPr>
      <w:r>
        <w:rPr>
          <w:rFonts w:ascii="Arial" w:cs="Arial" w:eastAsia="Arial" w:hAnsi="Arial"/>
          <w:color w:val="FFFFFF"/>
          <w:sz w:val="20"/>
          <w:szCs w:val="20"/>
        </w:rPr>
        <w:t xml:space="preserve">Nos conseillers MC&amp;A Patrimoine analysent votre situation fiscale et vous proposent une selection de programmes adaptes a vos objectifs patrimoniaux.</w:t>
      </w:r>
    </w:p>
    <w:p>
      <w:pPr>
        <w:shd w:fill="0D1F3C" w:val="clear"/>
        <w:spacing w:after="240" w:before="0"/>
        <w:ind w:left="200"/>
      </w:pPr>
      <w:r>
        <w:rPr>
          <w:rFonts w:ascii="Arial" w:cs="Arial" w:eastAsia="Arial" w:hAnsi="Arial"/>
          <w:color w:val="C8973A"/>
          <w:sz w:val="18"/>
          <w:szCs w:val="18"/>
        </w:rPr>
        <w:t xml:space="preserve">Contact : monlogementneuf.com | MC&amp;A Patrimoine, Francheville (Grand Lyon)</w:t>
      </w:r>
    </w:p>
    <w:sectPr>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1F3C" w:sz="4" w:space="8"/>
      </w:pBdr>
    </w:pPr>
    <w:r>
      <w:rPr>
        <w:rFonts w:ascii="Arial" w:cs="Arial" w:eastAsia="Arial" w:hAnsi="Arial"/>
        <w:color w:val="888888"/>
        <w:sz w:val="16"/>
        <w:szCs w:val="16"/>
      </w:rPr>
      <w:t xml:space="preserve">MC&amp;A Patrimoine | monlogementneuf.com | </w:t>
    </w:r>
    <w:r>
      <w:rPr>
        <w:rFonts w:ascii="Arial" w:cs="Arial" w:eastAsia="Arial" w:hAnsi="Arial"/>
        <w:color w:val="AAAAAA"/>
        <w:sz w:val="16"/>
        <w:szCs w:val="16"/>
      </w:rPr>
      <w:t xml:space="preserve">Informations non contractuelles. Simulation personnalisee disponible sur rendez-vous.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2A7A5B"/>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FFFFFF"/>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FFFFFF"/>
      <w:sz w:val="26"/>
      <w:szCs w:val="26"/>
    </w:rPr>
  </w:style>
  <w:style w:type="paragraph" w:styleId="Heading3">
    <w:name w:val="Heading 3"/>
    <w:basedOn w:val="Normal"/>
    <w:next w:val="Normal"/>
    <w:qFormat/>
    <w:pPr>
      <w:spacing w:after="100" w:before="240"/>
      <w:outlineLvl w:val="2"/>
    </w:pPr>
    <w:rPr>
      <w:rFonts w:ascii="Arial" w:cs="Arial" w:eastAsia="Arial" w:hAnsi="Arial"/>
      <w:b/>
      <w:bCs/>
      <w:color w:val="0D1F3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2026-06-18T09:29:50.416Z</dcterms:created>
  <dcterms:modified xsi:type="dcterms:W3CDTF">2026-06-18T09:29:50.417Z</dcterms:modified>
</cp:coreProperties>
</file>

<file path=docProps/custom.xml><?xml version="1.0" encoding="utf-8"?>
<Properties xmlns="http://schemas.openxmlformats.org/officeDocument/2006/custom-properties" xmlns:vt="http://schemas.openxmlformats.org/officeDocument/2006/docPropsVTypes"/>
</file>